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Security Programs  |  Technology Partnerships &amp; Solutions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Founder and commercial leader bringing customer-facing operations experience and documented cybersecurity training to partnership discovery, security program requirements and public-safe technical coordination.</w:t>
      </w:r>
    </w:p>
    <w:p>
      <w:pPr>
        <w:pStyle w:val="SectionCap"/>
      </w:pPr>
      <w:r>
        <w:t>CORE STRENGTHS</w:t>
      </w:r>
    </w:p>
    <w:p>
      <w:r>
        <w:t>Security programs  •  Partner discovery  •  Requirements  •  Evidence controls  •  Solution positioning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SectionCap"/>
      </w:pPr>
      <w:r>
        <w:t>SELECTED SUPPORTING EVIDENCE</w:t>
      </w:r>
    </w:p>
    <w:p>
      <w:r>
        <w:t>Source evidence: merged data-boundary guards (PR #38); CPX-FEDERAL synthetic-only no-intake staging (PR #48); GHOSTaccess remains a draft.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