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Name"/>
      </w:pPr>
      <w:r>
        <w:t>JEFFREY CLINTON</w:t>
      </w:r>
    </w:p>
    <w:p>
      <w:pPr>
        <w:pStyle w:val="DocSubtitle"/>
      </w:pPr>
      <w:r>
        <w:t>Professional Curriculum Vitae  |  Business, Technology &amp; Independent Research</w:t>
      </w:r>
    </w:p>
    <w:p>
      <w:pPr>
        <w:spacing w:after="100"/>
      </w:pPr>
      <w:r>
        <w:rPr>
          <w:color w:val="606E77"/>
          <w:sz w:val="16"/>
        </w:rPr>
        <w:t xml:space="preserve">Florida  •  </w:t>
      </w:r>
      <w:hyperlink r:id="rId11">
        <w:r>
          <w:rPr>
            <w:color w:val="1D6767"/>
            <w:u w:val="single"/>
          </w:rPr>
          <w:t>CHYPHNX@pm.me</w:t>
        </w:r>
      </w:hyperlink>
      <w:r>
        <w:t xml:space="preserve">   ·   </w:t>
      </w:r>
      <w:hyperlink r:id="rId12">
        <w:r>
          <w:rPr>
            <w:color w:val="1D6767"/>
            <w:u w:val="single"/>
          </w:rPr>
          <w:t>CPX Agency</w:t>
        </w:r>
      </w:hyperlink>
      <w:r>
        <w:t xml:space="preserve">   ·   </w:t>
      </w:r>
      <w:hyperlink r:id="rId13">
        <w:r>
          <w:rPr>
            <w:color w:val="1D6767"/>
            <w:u w:val="single"/>
          </w:rPr>
          <w:t>GitHub</w:t>
        </w:r>
      </w:hyperlink>
      <w:r>
        <w:t xml:space="preserve">   ·   </w:t>
      </w:r>
      <w:hyperlink r:id="rId14">
        <w:r>
          <w:rPr>
            <w:color w:val="1D6767"/>
            <w:u w:val="single"/>
          </w:rPr>
          <w:t>Credly</w:t>
        </w:r>
      </w:hyperlink>
    </w:p>
    <w:p>
      <w:pPr>
        <w:spacing w:after="120"/>
      </w:pPr>
      <w:r>
        <w:t>Founder-led venture and technical program development grounded in earlier SolarCity regional leadership, Sunrun district management and Vivint / Platinum area leadership. A cross-disciplinary portfolio linking commercial strategy, evidence-oriented cybersecurity work and systems research.</w:t>
      </w:r>
    </w:p>
    <w:p>
      <w:pPr>
        <w:pStyle w:val="SectionCap"/>
      </w:pPr>
      <w:r>
        <w:t>COMMERCIAL LEADERSHIP &amp; EMPLOYMENT</w:t>
      </w:r>
    </w:p>
    <w:p>
      <w:pPr>
        <w:pStyle w:val="RoleTitle"/>
      </w:pPr>
      <w:r>
        <w:rPr>
          <w:b/>
        </w:rPr>
        <w:t>CPX Agency / CHYPHNX | Founder, Independent Venture &amp; Program Development</w:t>
      </w:r>
      <w:r>
        <w:rPr>
          <w:i/>
        </w:rPr>
        <w:t xml:space="preserve">  |  Current</w:t>
      </w:r>
    </w:p>
    <w:p>
      <w:pPr>
        <w:pStyle w:val="ListBullet"/>
        <w:spacing w:after="40"/>
        <w:ind w:left="288" w:hanging="144"/>
      </w:pPr>
      <w:r>
        <w:rPr>
          <w:sz w:val="18"/>
        </w:rPr>
        <w:t>Organize commercial plans, requirements and public-safe source evidence across cybersecurity, identity, decision-support and human-systems initiatives.</w:t>
      </w:r>
    </w:p>
    <w:p>
      <w:pPr>
        <w:pStyle w:val="ListBullet"/>
        <w:spacing w:after="40"/>
        <w:ind w:left="288" w:hanging="144"/>
      </w:pPr>
      <w:r>
        <w:rPr>
          <w:sz w:val="18"/>
        </w:rPr>
        <w:t>Use stage-gated reviews to distinguish research, prototype work and implemented controls; develop partner positioning and public portfolio materials.</w:t>
      </w:r>
    </w:p>
    <w:p>
      <w:pPr>
        <w:pStyle w:val="RoleTitle"/>
      </w:pPr>
      <w:r>
        <w:rPr>
          <w:b/>
        </w:rPr>
        <w:t>SolarCity | Field Sales → Northern California Regional Leadership</w:t>
      </w:r>
      <w:r>
        <w:rPr>
          <w:i/>
        </w:rPr>
        <w:t xml:space="preserve">  |  2013–2016</w:t>
      </w:r>
    </w:p>
    <w:p>
      <w:pPr>
        <w:pStyle w:val="ListBullet"/>
        <w:spacing w:after="40"/>
        <w:ind w:left="288" w:hanging="144"/>
      </w:pPr>
      <w:r>
        <w:rPr>
          <w:sz w:val="18"/>
        </w:rPr>
        <w:t>Progressed from front-line field sales into regional leadership; supported territory development, recruiting, team coaching and market execution.</w:t>
      </w:r>
    </w:p>
    <w:p>
      <w:pPr>
        <w:pStyle w:val="ListBullet"/>
        <w:spacing w:after="40"/>
        <w:ind w:left="288" w:hanging="144"/>
      </w:pPr>
      <w:r>
        <w:rPr>
          <w:sz w:val="18"/>
        </w:rPr>
        <w:t>Explained technical solar solutions and financing and coordinated customer requirements with delivery handoffs.</w:t>
      </w:r>
    </w:p>
    <w:p>
      <w:pPr>
        <w:pStyle w:val="RoleTitle"/>
      </w:pPr>
      <w:r>
        <w:rPr>
          <w:b/>
        </w:rPr>
        <w:t>Sunrun | District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Supported field and retail-partner activity, coaching, staffing, location performance reviews and operating routines.</w:t>
      </w:r>
    </w:p>
    <w:p>
      <w:pPr>
        <w:pStyle w:val="RoleTitle"/>
      </w:pPr>
      <w:r>
        <w:rPr>
          <w:b/>
        </w:rPr>
        <w:t>Vivint / Platinum | Area Sales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Recruited and coached residential security sales teams, supported territory execution and customer-to-installation coordination.</w:t>
      </w:r>
    </w:p>
    <w:p>
      <w:pPr>
        <w:pStyle w:val="SectionCap"/>
      </w:pPr>
      <w:r>
        <w:t>RESEARCH &amp; INDEPENDENT TECHNOLOGY PORTFOLIO</w:t>
      </w:r>
    </w:p>
    <w:p>
      <w:pPr>
        <w:pStyle w:val="RoleTitle"/>
      </w:pPr>
      <w:r>
        <w:rPr>
          <w:b/>
        </w:rPr>
        <w:t>CPX Identity</w:t>
      </w:r>
    </w:p>
    <w:p>
      <w:pPr>
        <w:spacing w:after="20"/>
      </w:pPr>
      <w:r>
        <w:t>Merged limited interface; public noncredential identity experience, not live SSO</w:t>
      </w:r>
    </w:p>
    <w:p>
      <w:pPr>
        <w:spacing w:after="80"/>
      </w:pPr>
      <w:hyperlink r:id="rId15">
        <w:r>
          <w:rPr>
            <w:color w:val="1D6767"/>
            <w:u w:val="single"/>
          </w:rPr>
          <w:t>View source</w:t>
        </w:r>
      </w:hyperlink>
    </w:p>
    <w:p>
      <w:pPr>
        <w:pStyle w:val="RoleTitle"/>
      </w:pPr>
      <w:r>
        <w:rPr>
          <w:b/>
        </w:rPr>
        <w:t>Information-boundary safeguards</w:t>
      </w:r>
    </w:p>
    <w:p>
      <w:pPr>
        <w:spacing w:after="20"/>
      </w:pPr>
      <w:r>
        <w:t>Merged source/CI discipline for separating public source, restricted IP and synthetic development</w:t>
      </w:r>
    </w:p>
    <w:p>
      <w:pPr>
        <w:spacing w:after="80"/>
      </w:pPr>
      <w:hyperlink r:id="rId16">
        <w:r>
          <w:rPr>
            <w:color w:val="1D6767"/>
            <w:u w:val="single"/>
          </w:rPr>
          <w:t>View source</w:t>
        </w:r>
      </w:hyperlink>
    </w:p>
    <w:p>
      <w:pPr>
        <w:pStyle w:val="RoleTitle"/>
      </w:pPr>
      <w:r>
        <w:rPr>
          <w:b/>
        </w:rPr>
        <w:t>CPX-FEDERAL</w:t>
      </w:r>
    </w:p>
    <w:p>
      <w:pPr>
        <w:spacing w:after="20"/>
      </w:pPr>
      <w:r>
        <w:t>Inactive, synthetic-only no-CUI-intake development boundary; no authorization for real CUI</w:t>
      </w:r>
    </w:p>
    <w:p>
      <w:pPr>
        <w:spacing w:after="80"/>
      </w:pPr>
      <w:hyperlink r:id="rId17">
        <w:r>
          <w:rPr>
            <w:color w:val="1D6767"/>
            <w:u w:val="single"/>
          </w:rPr>
          <w:t>View source</w:t>
        </w:r>
      </w:hyperlink>
    </w:p>
    <w:p>
      <w:pPr>
        <w:pStyle w:val="RoleTitle"/>
      </w:pPr>
      <w:r>
        <w:rPr>
          <w:b/>
        </w:rPr>
        <w:t>GHOSTsuite / GHOSTaccess</w:t>
      </w:r>
    </w:p>
    <w:p>
      <w:pPr>
        <w:spacing w:after="20"/>
      </w:pPr>
      <w:r>
        <w:t>Security product-family concepts and identity/recovery research; draft components are not deployed services</w:t>
      </w:r>
    </w:p>
    <w:p>
      <w:pPr>
        <w:spacing w:after="80"/>
      </w:pPr>
      <w:hyperlink r:id="rId18">
        <w:r>
          <w:rPr>
            <w:color w:val="1D6767"/>
            <w:u w:val="single"/>
          </w:rPr>
          <w:t>View source</w:t>
        </w:r>
      </w:hyperlink>
    </w:p>
    <w:p>
      <w:pPr>
        <w:pStyle w:val="RoleTitle"/>
      </w:pPr>
      <w:r>
        <w:rPr>
          <w:b/>
        </w:rPr>
        <w:t>TRIDENT v4–v5</w:t>
      </w:r>
    </w:p>
    <w:p>
      <w:pPr>
        <w:spacing w:after="20"/>
      </w:pPr>
      <w:r>
        <w:t>Synthetic telecom-defense research and signed simulation telemetry; draft, not carrier deployed</w:t>
      </w:r>
    </w:p>
    <w:p>
      <w:pPr>
        <w:spacing w:after="80"/>
      </w:pPr>
      <w:hyperlink r:id="rId19">
        <w:r>
          <w:rPr>
            <w:color w:val="1D6767"/>
            <w:u w:val="single"/>
          </w:rPr>
          <w:t>View source</w:t>
        </w:r>
      </w:hyperlink>
    </w:p>
    <w:p>
      <w:pPr>
        <w:pStyle w:val="RoleTitle"/>
      </w:pPr>
      <w:r>
        <w:rPr>
          <w:b/>
        </w:rPr>
        <w:t>OMEGA</w:t>
      </w:r>
    </w:p>
    <w:p>
      <w:pPr>
        <w:spacing w:after="20"/>
      </w:pPr>
      <w:r>
        <w:t>Quantitative/decision-system research; no verified returns or real-money production authorization</w:t>
      </w:r>
    </w:p>
    <w:p>
      <w:pPr>
        <w:spacing w:after="80"/>
      </w:pPr>
      <w:hyperlink r:id="rId20">
        <w:r>
          <w:rPr>
            <w:color w:val="1D6767"/>
            <w:u w:val="single"/>
          </w:rPr>
          <w:t>View source</w:t>
        </w:r>
      </w:hyperlink>
    </w:p>
    <w:p>
      <w:pPr>
        <w:pStyle w:val="RoleTitle"/>
      </w:pPr>
      <w:r>
        <w:rPr>
          <w:b/>
        </w:rPr>
        <w:t>MissionGrid · THERON · BULLSEYE</w:t>
      </w:r>
    </w:p>
    <w:p>
      <w:pPr>
        <w:spacing w:after="20"/>
      </w:pPr>
      <w:r>
        <w:t>Decision support, mission systems and human-systems measurement research; scope and maturity vary</w:t>
      </w:r>
    </w:p>
    <w:p>
      <w:pPr>
        <w:spacing w:after="80"/>
      </w:pPr>
      <w:hyperlink r:id="rId13">
        <w:r>
          <w:rPr>
            <w:color w:val="1D6767"/>
            <w:u w:val="single"/>
          </w:rPr>
          <w:t>View source</w:t>
        </w:r>
      </w:hyperlink>
    </w:p>
    <w:p>
      <w:pPr>
        <w:pStyle w:val="RoleTitle"/>
      </w:pPr>
      <w:r>
        <w:rPr>
          <w:b/>
        </w:rPr>
        <w:t>CPX public portfolio</w:t>
      </w:r>
    </w:p>
    <w:p>
      <w:pPr>
        <w:spacing w:after="20"/>
      </w:pPr>
      <w:r>
        <w:t>Brand architecture, product navigation and release governance across program verticals</w:t>
      </w:r>
    </w:p>
    <w:p>
      <w:pPr>
        <w:spacing w:after="80"/>
      </w:pPr>
      <w:hyperlink r:id="rId21">
        <w:r>
          <w:rPr>
            <w:color w:val="1D6767"/>
            <w:u w:val="single"/>
          </w:rPr>
          <w:t>View source</w:t>
        </w:r>
      </w:hyperlink>
    </w:p>
    <w:p>
      <w:pPr>
        <w:pStyle w:val="SectionCap"/>
      </w:pPr>
      <w:r>
        <w:t>PROFESSIONAL QUALIFICATIONS AND STUDY</w:t>
      </w:r>
    </w:p>
    <w:p>
      <w:pPr>
        <w:pStyle w:val="ListBullet"/>
        <w:spacing w:after="40"/>
        <w:ind w:left="288" w:hanging="144"/>
      </w:pPr>
      <w:r>
        <w:rPr>
          <w:sz w:val="18"/>
        </w:rPr>
        <w:t>IBM Cybersecurity Analyst Professional Certificate — issued 2023 record, training qualification rather than IBM employment.</w:t>
      </w:r>
    </w:p>
    <w:p>
      <w:pPr>
        <w:pStyle w:val="ListBullet"/>
        <w:spacing w:after="40"/>
        <w:ind w:left="288" w:hanging="144"/>
      </w:pPr>
      <w:r>
        <w:rPr>
          <w:sz w:val="18"/>
        </w:rPr>
        <w:t>Additional issuer-linked learning: IBM security, Wharton strategic and quantitative programs, Stanford/DeepLearning.AI machine learning and Duke decentralized finance.</w:t>
      </w:r>
    </w:p>
    <w:p>
      <w:pPr>
        <w:pStyle w:val="ListBullet"/>
        <w:spacing w:after="40"/>
        <w:ind w:left="288" w:hanging="144"/>
      </w:pPr>
      <w:r>
        <w:rPr>
          <w:sz w:val="18"/>
        </w:rPr>
        <w:t>University of Maryland Global Campus — cybersecurity and data-science studies; prior coursework at USF and Hampden–Sydney. Completed degrees are not asserted.</w:t>
      </w:r>
    </w:p>
    <w:p>
      <w:pPr>
        <w:pStyle w:val="ListBullet"/>
        <w:spacing w:after="40"/>
        <w:ind w:left="288" w:hanging="144"/>
      </w:pPr>
      <w:r>
        <w:rPr>
          <w:sz w:val="18"/>
        </w:rPr>
        <w:t>Historical course and badge archive available through the career credential appendix; status and renewals should be independently reviewed.</w:t>
      </w:r>
    </w:p>
    <w:p>
      <w:pPr>
        <w:pStyle w:val="SectionCap"/>
      </w:pPr>
      <w:r>
        <w:t>COMMERCIAL AND TECHNICAL COMPETENCIES</w:t>
      </w:r>
    </w:p>
    <w:p>
      <w:r>
        <w:t>Regional and district operations · Consultative sales · Recruiting and field coaching · Territory strategy · Business development · Stakeholder discovery · Technical partnership narratives · Product requirements · Source-controlled release checks · Security governance research · Public/private data classification · Risk registers · Documentation · Operational change control</w:t>
      </w:r>
    </w:p>
    <w:p>
      <w:pPr>
        <w:pStyle w:val="SectionCap"/>
      </w:pPr>
      <w:r>
        <w:t>PUBLIC PROFESSIONAL SOURCES</w:t>
      </w:r>
    </w:p>
    <w:p>
      <w:hyperlink r:id="rId13">
        <w:r>
          <w:rPr>
            <w:color w:val="1D6767"/>
            <w:u w:val="single"/>
          </w:rPr>
          <w:t>CHYPHNX GitHub</w:t>
        </w:r>
      </w:hyperlink>
      <w:r>
        <w:t xml:space="preserve">  ·  </w:t>
      </w:r>
      <w:hyperlink r:id="rId14">
        <w:r>
          <w:rPr>
            <w:color w:val="1D6767"/>
            <w:u w:val="single"/>
          </w:rPr>
          <w:t>Credly</w:t>
        </w:r>
      </w:hyperlink>
      <w:r>
        <w:t xml:space="preserve">  ·  </w:t>
      </w:r>
      <w:hyperlink r:id="rId22">
        <w:r>
          <w:rPr>
            <w:color w:val="1D6767"/>
            <w:u w:val="single"/>
          </w:rPr>
          <w:t>IBM certificate record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78" w:right="1022" w:bottom="763" w:left="102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E77"/>
        <w:sz w:val="14"/>
      </w:rPr>
      <w:t>Jeffrey Clinton  ·  CHYPHNX@pm.me  ·  Supporting application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6E77"/>
        <w:sz w:val="14"/>
      </w:rPr>
      <w:t>CPX AGENCY  /  CHYPHNX  ·  CAREER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20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Name">
    <w:name w:val="DocName"/>
    <w:basedOn w:val="Normal"/>
    <w:pPr>
      <w:spacing w:before="0" w:after="40"/>
    </w:pPr>
    <w:rPr>
      <w:rFonts w:ascii="Aptos Display" w:hAnsi="Aptos Display"/>
      <w:b/>
      <w:color w:val="15202A"/>
      <w:sz w:val="48"/>
    </w:rPr>
  </w:style>
  <w:style w:type="paragraph" w:customStyle="1" w:styleId="DocSubtitle">
    <w:name w:val="DocSubtitle"/>
    <w:basedOn w:val="Normal"/>
    <w:pPr>
      <w:spacing w:before="0" w:after="140"/>
    </w:pPr>
    <w:rPr>
      <w:rFonts w:ascii="Aptos" w:hAnsi="Aptos"/>
      <w:b w:val="0"/>
      <w:color w:val="1D6767"/>
      <w:sz w:val="20"/>
    </w:rPr>
  </w:style>
  <w:style w:type="paragraph" w:customStyle="1" w:styleId="SectionCap">
    <w:name w:val="SectionCap"/>
    <w:basedOn w:val="Normal"/>
    <w:pPr>
      <w:spacing w:before="120" w:after="60"/>
    </w:pPr>
    <w:rPr>
      <w:rFonts w:ascii="Aptos" w:hAnsi="Aptos"/>
      <w:b/>
      <w:color w:val="1D6767"/>
      <w:sz w:val="18"/>
    </w:rPr>
  </w:style>
  <w:style w:type="paragraph" w:customStyle="1" w:styleId="RoleTitle">
    <w:name w:val="RoleTitle"/>
    <w:basedOn w:val="Normal"/>
    <w:pPr>
      <w:spacing w:before="0" w:after="20"/>
    </w:pPr>
    <w:rPr>
      <w:rFonts w:ascii="Aptos" w:hAnsi="Aptos"/>
      <w:b/>
      <w:color w:val="15202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CHYPHNX@pm.me" TargetMode="External"/><Relationship Id="rId12" Type="http://schemas.openxmlformats.org/officeDocument/2006/relationships/hyperlink" Target="https://cpx.agency/" TargetMode="External"/><Relationship Id="rId13" Type="http://schemas.openxmlformats.org/officeDocument/2006/relationships/hyperlink" Target="https://github.com/OnlyClinton/CHYPHNX" TargetMode="External"/><Relationship Id="rId14" Type="http://schemas.openxmlformats.org/officeDocument/2006/relationships/hyperlink" Target="https://www.credly.com/users/chyphnx" TargetMode="External"/><Relationship Id="rId15" Type="http://schemas.openxmlformats.org/officeDocument/2006/relationships/hyperlink" Target="https://github.com/OnlyClinton/CHYPHNX/pull/50" TargetMode="External"/><Relationship Id="rId16" Type="http://schemas.openxmlformats.org/officeDocument/2006/relationships/hyperlink" Target="https://github.com/OnlyClinton/CHYPHNX/pull/38" TargetMode="External"/><Relationship Id="rId17" Type="http://schemas.openxmlformats.org/officeDocument/2006/relationships/hyperlink" Target="https://github.com/OnlyClinton/CHYPHNX/pull/48" TargetMode="External"/><Relationship Id="rId18" Type="http://schemas.openxmlformats.org/officeDocument/2006/relationships/hyperlink" Target="https://github.com/OnlyClinton/CHYPHNX/pull/58" TargetMode="External"/><Relationship Id="rId19" Type="http://schemas.openxmlformats.org/officeDocument/2006/relationships/hyperlink" Target="https://github.com/OnlyClinton/CHYPHNX/pull/60" TargetMode="External"/><Relationship Id="rId20" Type="http://schemas.openxmlformats.org/officeDocument/2006/relationships/hyperlink" Target="https://github.com/OnlyClinton/CHYPHNX/pull/15" TargetMode="External"/><Relationship Id="rId21" Type="http://schemas.openxmlformats.org/officeDocument/2006/relationships/hyperlink" Target="https://github.com/OnlyClinton/CHYPHNX/pull/66" TargetMode="External"/><Relationship Id="rId22" Type="http://schemas.openxmlformats.org/officeDocument/2006/relationships/hyperlink" Target="https://www.coursera.org/account/accomplishments/specialization/certificate/6T7K2T6JD6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